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552" w:rsidRDefault="00627552" w:rsidP="00627552">
      <w:r>
        <w:t>29 декабря 2018 г.</w:t>
      </w:r>
    </w:p>
    <w:p w:rsidR="00627552" w:rsidRDefault="00627552" w:rsidP="00627552">
      <w:r>
        <w:t>Российская газета - Федеральный выпуск №7758 (295)</w:t>
      </w:r>
    </w:p>
    <w:p w:rsidR="00627552" w:rsidRDefault="00627552" w:rsidP="00627552">
      <w:r>
        <w:t>Федеральный закон от 27 декабря 2018 г.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rsidR="00627552" w:rsidRDefault="00627552" w:rsidP="00627552">
      <w:r>
        <w:t>Принят Государственной Думой 18 декабря 2018 года</w:t>
      </w:r>
    </w:p>
    <w:p w:rsidR="00D26203" w:rsidRDefault="00627552" w:rsidP="00627552">
      <w:r>
        <w:t>Одобрен Советом Федерации 21 декабря 2018 года</w:t>
      </w:r>
    </w:p>
    <w:p w:rsidR="00627552" w:rsidRDefault="00627552" w:rsidP="00627552">
      <w:r>
        <w:t>Статья 8</w:t>
      </w:r>
    </w:p>
    <w:p w:rsidR="00627552" w:rsidRDefault="00627552" w:rsidP="00627552"/>
    <w:p w:rsidR="00627552" w:rsidRDefault="00627552" w:rsidP="00627552">
      <w:r>
        <w:t>Внести в Федеральный закон от 26 октября 2002 года N 127-ФЗ "О несостоятельности (банкротстве)" (Собрание законодательства Российской Федерации, 2002, N 43, ст. 4190; 2006, N 52, ст. 5497; 2008, N 30, ст. 3616; 2009, N 1, ст. 4, 14; N 18, ст. 2153; N 29, ст. 3632; 2010, N 17, ст. 1988; N 31, ст. 4188; 2011, N 7, ст. 905; N 29, ст. 4301; N 49, ст. 7015; 2012, N 31, ст. 4333; 2013, N 51, ст. 6699; 2015, N 1, ст. 29, 35; N 27, ст. 3945, 3977; 2016, N 26, ст. 3891) следующие изменения:</w:t>
      </w:r>
    </w:p>
    <w:p w:rsidR="00627552" w:rsidRDefault="00627552" w:rsidP="00627552"/>
    <w:p w:rsidR="00627552" w:rsidRDefault="00627552" w:rsidP="00627552">
      <w:r>
        <w:t>1) абзац третий пункта 7 статьи 16 после слов "представитель владельцев облигаций" дополнить словами "или депозитарий, осуществляющий централизованный учет прав на облигации", после слов "представителе владельцев облигаций" дополнить словами "или о таком депозитарии";</w:t>
      </w:r>
    </w:p>
    <w:p w:rsidR="00627552" w:rsidRDefault="00627552" w:rsidP="00627552"/>
    <w:p w:rsidR="00627552" w:rsidRDefault="00627552" w:rsidP="00627552">
      <w:r>
        <w:t>2) в пункте 4 статьи 71:</w:t>
      </w:r>
    </w:p>
    <w:p w:rsidR="00627552" w:rsidRDefault="00627552" w:rsidP="00627552"/>
    <w:p w:rsidR="00627552" w:rsidRDefault="00627552" w:rsidP="00627552">
      <w:r>
        <w:t>а) в абзаце втором после слов "представитель владельцев облигаций" дополнить словами "или депозитарий, осуществляющий централизованный учет прав на облигации", слова "условиями соответствующего выпуска облигаций" заменить словами "решением о выпуске соответствующих облигаций";</w:t>
      </w:r>
    </w:p>
    <w:p w:rsidR="00627552" w:rsidRDefault="00627552" w:rsidP="00627552"/>
    <w:p w:rsidR="00627552" w:rsidRDefault="00627552" w:rsidP="00627552">
      <w:r>
        <w:t>б) абзац третий дополнить словами "или депозитарий, осуществляющий централизованный учет прав на облигации";</w:t>
      </w:r>
    </w:p>
    <w:p w:rsidR="00627552" w:rsidRDefault="00627552" w:rsidP="00627552"/>
    <w:p w:rsidR="00627552" w:rsidRDefault="00627552" w:rsidP="00627552">
      <w:r>
        <w:t>3) в пункте 4 статьи 100:</w:t>
      </w:r>
    </w:p>
    <w:p w:rsidR="00627552" w:rsidRDefault="00627552" w:rsidP="00627552"/>
    <w:p w:rsidR="00627552" w:rsidRDefault="00627552" w:rsidP="00627552">
      <w:r>
        <w:t>а) в абзаце втором после слов "представитель владельцев облигаций" дополнить словами "или депозитарий, осуществляющий централизованный учет прав на облигации", слова "условиями соответствующего выпуска облигаций" заменить словами "решением о выпуске соответствующих облигаций";</w:t>
      </w:r>
    </w:p>
    <w:p w:rsidR="00627552" w:rsidRDefault="00627552" w:rsidP="00627552"/>
    <w:p w:rsidR="00627552" w:rsidRDefault="00627552" w:rsidP="00627552">
      <w:r>
        <w:t>б) абзац третий дополнить словами "или депозитарий, осуществляющий централизованный учет прав на облигации";</w:t>
      </w:r>
    </w:p>
    <w:p w:rsidR="00627552" w:rsidRDefault="00627552" w:rsidP="00627552"/>
    <w:p w:rsidR="00627552" w:rsidRDefault="00627552" w:rsidP="00627552">
      <w:r>
        <w:t>4) пункт 4 статьи 134 дополнить абзацем следующего содержания:</w:t>
      </w:r>
    </w:p>
    <w:p w:rsidR="00627552" w:rsidRDefault="00627552" w:rsidP="00627552"/>
    <w:p w:rsidR="00627552" w:rsidRDefault="00627552" w:rsidP="00627552">
      <w:r>
        <w:t>"Требования кредиторов, являющихся владельцами облигаций без срока погашения, удовлетворяются после удовлетворения требований всех иных кредиторов.";</w:t>
      </w:r>
    </w:p>
    <w:p w:rsidR="00627552" w:rsidRDefault="00627552" w:rsidP="00627552"/>
    <w:p w:rsidR="00627552" w:rsidRDefault="00627552" w:rsidP="00627552">
      <w:r>
        <w:t>5) в абзаце втором пункта 1 статьи 2301 слова "условиями выпуска облигаций" заменить словами "решением о выпуске облигаций";</w:t>
      </w:r>
    </w:p>
    <w:p w:rsidR="00627552" w:rsidRDefault="00627552" w:rsidP="00627552"/>
    <w:p w:rsidR="00627552" w:rsidRDefault="00627552" w:rsidP="00627552">
      <w:r>
        <w:t>6) в статье 2302:</w:t>
      </w:r>
    </w:p>
    <w:p w:rsidR="00627552" w:rsidRDefault="00627552" w:rsidP="00627552"/>
    <w:p w:rsidR="00627552" w:rsidRDefault="00627552" w:rsidP="00627552">
      <w:r>
        <w:t>а) в пункте 3 слова "облигаций, такой представитель" заменить словами "облигаций или депозитарий, осуществляющий централизованный учет прав на облигации, такое лицо";</w:t>
      </w:r>
    </w:p>
    <w:p w:rsidR="00627552" w:rsidRDefault="00627552" w:rsidP="00627552"/>
    <w:p w:rsidR="00627552" w:rsidRDefault="00627552" w:rsidP="00627552">
      <w:r>
        <w:t>б) пункт 4 дополнить словами "или депозитарий, осуществляющий централизованный учет прав на облигации";</w:t>
      </w:r>
    </w:p>
    <w:p w:rsidR="00627552" w:rsidRDefault="00627552" w:rsidP="00627552"/>
    <w:p w:rsidR="00627552" w:rsidRDefault="00627552" w:rsidP="00627552">
      <w:r>
        <w:t>7) в статье 2303:</w:t>
      </w:r>
    </w:p>
    <w:p w:rsidR="00627552" w:rsidRDefault="00627552" w:rsidP="00627552"/>
    <w:p w:rsidR="00627552" w:rsidRDefault="00627552" w:rsidP="00627552">
      <w:r>
        <w:t>а) пункт 1 изложить в следующей редакции:</w:t>
      </w:r>
    </w:p>
    <w:p w:rsidR="00627552" w:rsidRDefault="00627552" w:rsidP="00627552"/>
    <w:p w:rsidR="00627552" w:rsidRDefault="00627552" w:rsidP="00627552">
      <w:r>
        <w:t>"1. Требования кредиторов с залоговым обеспечением удовлетворяются в рамках требований кредиторов третьей очереди с особенностями, предусмотренными статьей 138 настоящего Федерального закона.</w:t>
      </w:r>
    </w:p>
    <w:p w:rsidR="00627552" w:rsidRDefault="00627552" w:rsidP="00627552"/>
    <w:p w:rsidR="00627552" w:rsidRDefault="00627552" w:rsidP="00627552">
      <w:r>
        <w:t>Если в деле о банкротстве должника интересы кредиторов - владельцев облигаций с залоговым обеспечением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денежные средства, полученные после реализации имущества, составляющего залоговое обеспечение, в порядке, установленном статьей 138 настоящего Федерального закона, зачисляются конкурсным управляющим на специальный счет такого лица, а если таким лицом является кредитная организация на ее счет для последующего расчета с кредиторами - владельцами облигаций с залоговым обеспечением в соответствии с решением о выпуске таких облигаций.</w:t>
      </w:r>
    </w:p>
    <w:p w:rsidR="00627552" w:rsidRDefault="00627552" w:rsidP="00627552"/>
    <w:p w:rsidR="00627552" w:rsidRDefault="00627552" w:rsidP="00627552">
      <w:r>
        <w:t xml:space="preserve">В случае эмиссии специализированным обществом облигаций с одним залоговым обеспечением двух и более выпусков удовлетворение требований владельцев облигаций по каждому выпуску осуществляется путем зачисления конкурсным управляющим на специальный счет представителя </w:t>
      </w:r>
      <w:r>
        <w:lastRenderedPageBreak/>
        <w:t>владельцев облигаций или депозитария, осуществляющего централизованный учет прав на облигации, денежных средств, полученных после реализации имущества, составляющего залоговое обеспечение, в порядке, установленном статьей 138 настоящего Федерального закона, в соответствии с очередностью, установленной решением о выпуске таких облигаций, для последующего расчета с владельцами таких облигаций в порядке, установленном законодательством Российской Федерации о ценных бумагах. Если представителем владельцев облигаций или депозитарием, осуществляющим централизованный учет прав на облигации, является кредитная организация, указанные денежные средства зачисляются на ее счет.</w:t>
      </w:r>
    </w:p>
    <w:p w:rsidR="00627552" w:rsidRDefault="00627552" w:rsidP="00627552"/>
    <w:p w:rsidR="00627552" w:rsidRDefault="00627552" w:rsidP="00627552">
      <w:r>
        <w:t>В случае отсутствия представителя владельцев облигаций или депозитария, осуществляющего централизованный учет прав на облигации, требования кредиторов с залоговым обеспечением удовлетворяются в соответствии с очередностью, установленной решением о выпуске таких облигаций.";</w:t>
      </w:r>
    </w:p>
    <w:p w:rsidR="00627552" w:rsidRDefault="00627552" w:rsidP="00627552"/>
    <w:p w:rsidR="00627552" w:rsidRDefault="00627552" w:rsidP="00627552">
      <w:r>
        <w:t>б) в абзаце втором пункта 2 после слов "облигаций с таким залоговым обеспечением" дополнить словами "или депозитарием, осуществляющим централизованный учет прав на облигации с таким залоговым обеспечением,", слова "или непринятия" заменить словами "или депозитария, осуществляющего централизованный учет прав на указанные облигации, либо непринятии".</w:t>
      </w:r>
    </w:p>
    <w:p w:rsidR="00627552" w:rsidRDefault="00627552" w:rsidP="00627552"/>
    <w:p w:rsidR="00627552" w:rsidRDefault="00627552" w:rsidP="00627552">
      <w:r>
        <w:t>Статья 9</w:t>
      </w:r>
    </w:p>
    <w:p w:rsidR="00627552" w:rsidRDefault="00627552" w:rsidP="00627552"/>
    <w:p w:rsidR="00627552" w:rsidRDefault="00627552" w:rsidP="00627552">
      <w:r>
        <w:t>Внести в Федеральный закон от 11 ноября 2003 года N 152-ФЗ "Об ипотечных ценных бумагах" (Собрание законодательства Российской Федерации, 2003, N 46, ст. 4448; 2005, N 1, ст. 19; 2006, N 31, ст. 3440; 2012, N 53, ст. 7606; 2013, N 30, ст. 4084; N 51, ст. 6699; 2016, N 1, ст. 81; 2017, N 48, ст. 7052) следующие изменения:</w:t>
      </w:r>
    </w:p>
    <w:p w:rsidR="00627552" w:rsidRDefault="00627552" w:rsidP="00627552"/>
    <w:p w:rsidR="00627552" w:rsidRDefault="00627552" w:rsidP="00627552">
      <w:r>
        <w:t>1) в статье 9:</w:t>
      </w:r>
    </w:p>
    <w:p w:rsidR="00627552" w:rsidRDefault="00627552" w:rsidP="00627552"/>
    <w:p w:rsidR="00627552" w:rsidRDefault="00627552" w:rsidP="00627552">
      <w:r>
        <w:t>а) в части 1 слова "в одной из форм, предусмотренных" заменить словами "в форме, предусмотренной";</w:t>
      </w:r>
    </w:p>
    <w:p w:rsidR="00627552" w:rsidRDefault="00627552" w:rsidP="00627552"/>
    <w:p w:rsidR="00627552" w:rsidRDefault="00627552" w:rsidP="00627552">
      <w:r>
        <w:t>б) часть 2 признать утратившей силу;</w:t>
      </w:r>
    </w:p>
    <w:p w:rsidR="00627552" w:rsidRDefault="00627552" w:rsidP="00627552"/>
    <w:p w:rsidR="00627552" w:rsidRDefault="00627552" w:rsidP="00627552">
      <w:r>
        <w:t>2) в статье 12:</w:t>
      </w:r>
    </w:p>
    <w:p w:rsidR="00627552" w:rsidRDefault="00627552" w:rsidP="00627552"/>
    <w:p w:rsidR="00627552" w:rsidRDefault="00627552" w:rsidP="00627552">
      <w:r>
        <w:t>а) в части 2 слова "Условия эмиссии" заменить словами "Решение о размещении", слово "могут" заменить словом "может";</w:t>
      </w:r>
    </w:p>
    <w:p w:rsidR="00627552" w:rsidRDefault="00627552" w:rsidP="00627552"/>
    <w:p w:rsidR="00627552" w:rsidRDefault="00627552" w:rsidP="00627552">
      <w:r>
        <w:t>б) часть 31 признать утратившей силу;</w:t>
      </w:r>
    </w:p>
    <w:p w:rsidR="00627552" w:rsidRDefault="00627552" w:rsidP="00627552"/>
    <w:p w:rsidR="00627552" w:rsidRDefault="00627552" w:rsidP="00627552">
      <w:r>
        <w:t>в) часть 32 изложить в следующей редакции:</w:t>
      </w:r>
    </w:p>
    <w:p w:rsidR="00627552" w:rsidRDefault="00627552" w:rsidP="00627552"/>
    <w:p w:rsidR="00627552" w:rsidRDefault="00627552" w:rsidP="00627552">
      <w:r>
        <w:t>"32. Если решением о размещении облигаций с ипотечным покрытием предусматривается их размещение в рамках программы облигаций, такая программа наряду со сведениями, предусмотренными Федеральным законом "О рынке ценных бумаг", должна также содержать:</w:t>
      </w:r>
    </w:p>
    <w:p w:rsidR="00627552" w:rsidRDefault="00627552" w:rsidP="00627552"/>
    <w:p w:rsidR="00627552" w:rsidRDefault="00627552" w:rsidP="00627552">
      <w:r>
        <w:t>указание на обеспечение облигаций залогом ипотечного покрытия;</w:t>
      </w:r>
    </w:p>
    <w:p w:rsidR="00627552" w:rsidRDefault="00627552" w:rsidP="00627552"/>
    <w:p w:rsidR="00627552" w:rsidRDefault="00627552" w:rsidP="00627552">
      <w:r>
        <w:t>сведения об очередности исполнения обязательств по облигациям с одним ипотечным покрытием в случае, если программой облигаций с ипотечным покрытием предусмотрена возможность размещения таких облигаций;</w:t>
      </w:r>
    </w:p>
    <w:p w:rsidR="00627552" w:rsidRDefault="00627552" w:rsidP="00627552"/>
    <w:p w:rsidR="00627552" w:rsidRDefault="00627552" w:rsidP="00627552">
      <w:r>
        <w:t>сведения о предоставлении дополнительного обеспечения по облигациям с ипотечным покрытием (облигациям с ипотечным покрытием определенной очереди), которые могут быть размещены в рамках программы облигаций с ипотечным покрытием, в случае его предоставления.";</w:t>
      </w:r>
    </w:p>
    <w:p w:rsidR="00627552" w:rsidRDefault="00627552" w:rsidP="00627552"/>
    <w:p w:rsidR="00627552" w:rsidRDefault="00627552" w:rsidP="00627552">
      <w:r>
        <w:t>г) часть 33 признать утратившей силу;</w:t>
      </w:r>
    </w:p>
    <w:p w:rsidR="00627552" w:rsidRDefault="00627552" w:rsidP="00627552"/>
    <w:p w:rsidR="00627552" w:rsidRDefault="00627552" w:rsidP="00627552">
      <w:r>
        <w:t>3) в абзаце третьем части 2 статьи 13 второе предложение изложить в следующей редакции: "При этом размер ипотечного покрытия считается достаточным для обеспечения надлежащего исполнения обязательств по облигациям соответствующей очереди, если размер ипотечного покрытия не меньше суммы непогашенной номинальной стоимости облигаций этой и предшествующих очередей либо не меньше размера ипотечного покрытия, установленного в решении о выпуске облигаций с ипотечным покрытием этой и предшествующих очередей.";</w:t>
      </w:r>
    </w:p>
    <w:p w:rsidR="00627552" w:rsidRDefault="00627552" w:rsidP="00627552"/>
    <w:p w:rsidR="00627552" w:rsidRDefault="00627552" w:rsidP="00627552">
      <w:r>
        <w:t>4) в части 2 статьи 14 слова "государственной регистрации отчета или" исключить;</w:t>
      </w:r>
    </w:p>
    <w:p w:rsidR="00627552" w:rsidRDefault="00627552" w:rsidP="00627552"/>
    <w:p w:rsidR="00627552" w:rsidRDefault="00627552" w:rsidP="00627552">
      <w:r>
        <w:t>5) в статье 161:</w:t>
      </w:r>
    </w:p>
    <w:p w:rsidR="00627552" w:rsidRDefault="00627552" w:rsidP="00627552"/>
    <w:p w:rsidR="00627552" w:rsidRDefault="00627552" w:rsidP="00627552">
      <w:r>
        <w:t>а) абзац второй части 1 изложить в следующей редакции:</w:t>
      </w:r>
    </w:p>
    <w:p w:rsidR="00627552" w:rsidRDefault="00627552" w:rsidP="00627552"/>
    <w:p w:rsidR="00627552" w:rsidRDefault="00627552" w:rsidP="00627552">
      <w:r>
        <w:t xml:space="preserve">"Требования кредиторов - владельцев облигаций с ипотечным покрытием составляют отдельный реестр и не включаются в предусмотренный законодательством Российской Федерации о несостоятельности (банкротстве) реестр требований кредиторов организации - эмитента указанных облигаций. При этом в реестр требований кредиторов - владельцев облигаций с ипотечным покрытием включается определенный в соответствии с законодательством Российской </w:t>
      </w:r>
      <w:r>
        <w:lastRenderedPageBreak/>
        <w:t>Федерации о ценных бумагах представитель владельцев таких облигаций или депозитарий, осуществляющий централизованный учет прав на такие облигации, а при их отсутствии владельцы облигаций с ипотечным покрытием, включенные в список, составленный в порядке, предусмотренном частью 5 настоящей статьи. Представитель владельцев облигаций с ипотечным покрытием или депозитарий, осуществляющий централизованный учет прав на облигации с ипотечным покрытием, включается в реестр требований кредиторов - владельцев облигаций с ипотечным покрытием на основании сведений, содержащихся в реестре эмиссионных ценных бумаг, ведение которого осуществляется Банком России в соответствии с Федеральным законом "О рынке ценных бумаг". В случае составления списка владельцев облигаций с ипотечным покрытием датой составления реестра требований кредиторов - владельцев таких облигаций является дата составления указанного списка.";</w:t>
      </w:r>
    </w:p>
    <w:p w:rsidR="00627552" w:rsidRDefault="00627552" w:rsidP="00627552"/>
    <w:p w:rsidR="00627552" w:rsidRDefault="00627552" w:rsidP="00627552">
      <w:r>
        <w:t>б) часть 5 изложить в следующей редакции:</w:t>
      </w:r>
    </w:p>
    <w:p w:rsidR="00627552" w:rsidRDefault="00627552" w:rsidP="00627552"/>
    <w:p w:rsidR="00627552" w:rsidRDefault="00627552" w:rsidP="00627552">
      <w:r>
        <w:t>"5. Конкурсный управляющий после дня вступления в силу решения арбитражного суда о признании организации - эмитента облигаций с ипотечным покрытием несостоятельной (банкротом) и об открытии конкурсного производства обязан направить регистратору, осуществляющему ведение реестра владельцев облигаций с ипотечным покрытием, требование о предоставлении списка владельцев облигаций с ипотечным покрытием. В указанном требовании определяется дата, на которую составляется указанный список. Такая дата не может быть установлена ранее чем через 30 дней и позднее чем через 45 дней после дня вступления в силу решения арбитражного суда о признании организации - эмитента облигаций с ипотечным покрытием несостоятельной (банкротом) и об открытии конкурсного производства. Список владельцев облигаций с ипотечным покрытием составляется и представляется в порядке, в срок и по правилам, которые предусмотрены Федеральным законом "О рынке ценных бумаг" для составления и представления списка владельцев ценных бумаг. Указанный список должен содержать реквизиты банковских счетов, на которые перечисляются денежные средства.";</w:t>
      </w:r>
    </w:p>
    <w:p w:rsidR="00627552" w:rsidRDefault="00627552" w:rsidP="00627552"/>
    <w:p w:rsidR="00627552" w:rsidRDefault="00627552" w:rsidP="00627552">
      <w:r>
        <w:t>6) в части 3 статьи 162:</w:t>
      </w:r>
    </w:p>
    <w:p w:rsidR="00627552" w:rsidRDefault="00627552" w:rsidP="00627552"/>
    <w:p w:rsidR="00627552" w:rsidRDefault="00627552" w:rsidP="00627552">
      <w:r>
        <w:t>а) в абзаце первом слова ", а в случае выпуска облигаций с ипотечным покрытием на предъявителя в документарной форме без обязательного централизованного хранения - владельцев указанных облигаций, предъявивших сертификаты указанных облигаций" исключить;</w:t>
      </w:r>
    </w:p>
    <w:p w:rsidR="00627552" w:rsidRDefault="00627552" w:rsidP="00627552"/>
    <w:p w:rsidR="00627552" w:rsidRDefault="00627552" w:rsidP="00627552">
      <w:r>
        <w:t>б) в абзаце третьем слова "требования представителя владельцев облигаций" заменить словами "требований владельцев облигаций с ипотечным покрытием";</w:t>
      </w:r>
    </w:p>
    <w:p w:rsidR="00627552" w:rsidRDefault="00627552" w:rsidP="00627552"/>
    <w:p w:rsidR="00627552" w:rsidRDefault="00627552" w:rsidP="00627552">
      <w:r>
        <w:t>в) в абзаце четвертом слова "условиями выпуска таких облигаций" заменить словами "в решении о выпуске таких облигаций";</w:t>
      </w:r>
    </w:p>
    <w:p w:rsidR="00627552" w:rsidRDefault="00627552" w:rsidP="00627552"/>
    <w:p w:rsidR="00627552" w:rsidRDefault="00627552" w:rsidP="00627552">
      <w:r>
        <w:t>г) дополнить абзацем следующего содержания:</w:t>
      </w:r>
    </w:p>
    <w:p w:rsidR="00627552" w:rsidRDefault="00627552" w:rsidP="00627552"/>
    <w:p w:rsidR="00627552" w:rsidRDefault="00627552" w:rsidP="00627552">
      <w:r>
        <w:lastRenderedPageBreak/>
        <w:t>"Если в деле о банкротстве должника интересы кредиторов - владельцев облигаций с ипотечным покрытием представляет депозитарий, осуществляющий централизованный учет прав на такие облигации, денежные средства, направляемые на удовлетворение требований их владельцев, зачисляются конкурсным управляющим на специальный счет указанного депозитария. Если представителем владельцев облигаций с ипотечным покрытием или депозитарием, осуществляющим централизованный учет прав на такие облигации, является кредитная организация, указанные денежные средства зачисляются на ее счет.";</w:t>
      </w:r>
    </w:p>
    <w:p w:rsidR="00627552" w:rsidRDefault="00627552" w:rsidP="00627552"/>
    <w:p w:rsidR="00627552" w:rsidRDefault="00627552" w:rsidP="00627552">
      <w:r>
        <w:t>7) в части 2 статьи 33 слова "Ценные бумаги в документарной форме" заменить словами "Документарные ценные бумаги";</w:t>
      </w:r>
    </w:p>
    <w:p w:rsidR="00627552" w:rsidRDefault="00627552" w:rsidP="00627552"/>
    <w:p w:rsidR="00627552" w:rsidRDefault="00627552" w:rsidP="00627552">
      <w:r>
        <w:t>8) в абзаце первом части 1 статьи 34 слово "эмиссии" исключить;</w:t>
      </w:r>
    </w:p>
    <w:p w:rsidR="00627552" w:rsidRDefault="00627552" w:rsidP="00627552"/>
    <w:p w:rsidR="00627552" w:rsidRPr="00627552" w:rsidRDefault="00627552" w:rsidP="00627552">
      <w:r>
        <w:t>9) в абзаце втором части 2 статьи 35 слова "ценные бумаги в документарной форме" заменить словами "документарные ценные бумаги".</w:t>
      </w:r>
      <w:bookmarkStart w:id="0" w:name="_GoBack"/>
      <w:bookmarkEnd w:id="0"/>
    </w:p>
    <w:sectPr w:rsidR="00627552" w:rsidRPr="00627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03"/>
    <w:rsid w:val="00627552"/>
    <w:rsid w:val="00D2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2674"/>
  <w15:chartTrackingRefBased/>
  <w15:docId w15:val="{2F5DCC0F-379B-4BC4-88D6-91494F2A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680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5">
          <w:marLeft w:val="0"/>
          <w:marRight w:val="0"/>
          <w:marTop w:val="0"/>
          <w:marBottom w:val="0"/>
          <w:divBdr>
            <w:top w:val="none" w:sz="0" w:space="0" w:color="auto"/>
            <w:left w:val="none" w:sz="0" w:space="0" w:color="auto"/>
            <w:bottom w:val="none" w:sz="0" w:space="0" w:color="auto"/>
            <w:right w:val="none" w:sz="0" w:space="0" w:color="auto"/>
          </w:divBdr>
          <w:divsChild>
            <w:div w:id="516693326">
              <w:marLeft w:val="0"/>
              <w:marRight w:val="0"/>
              <w:marTop w:val="0"/>
              <w:marBottom w:val="0"/>
              <w:divBdr>
                <w:top w:val="none" w:sz="0" w:space="0" w:color="auto"/>
                <w:left w:val="none" w:sz="0" w:space="0" w:color="auto"/>
                <w:bottom w:val="none" w:sz="0" w:space="0" w:color="auto"/>
                <w:right w:val="none" w:sz="0" w:space="0" w:color="auto"/>
              </w:divBdr>
              <w:divsChild>
                <w:div w:id="1757704078">
                  <w:marLeft w:val="0"/>
                  <w:marRight w:val="0"/>
                  <w:marTop w:val="0"/>
                  <w:marBottom w:val="0"/>
                  <w:divBdr>
                    <w:top w:val="none" w:sz="0" w:space="0" w:color="auto"/>
                    <w:left w:val="none" w:sz="0" w:space="0" w:color="auto"/>
                    <w:bottom w:val="none" w:sz="0" w:space="0" w:color="auto"/>
                    <w:right w:val="none" w:sz="0" w:space="0" w:color="auto"/>
                  </w:divBdr>
                </w:div>
                <w:div w:id="2097094135">
                  <w:marLeft w:val="0"/>
                  <w:marRight w:val="0"/>
                  <w:marTop w:val="0"/>
                  <w:marBottom w:val="0"/>
                  <w:divBdr>
                    <w:top w:val="none" w:sz="0" w:space="0" w:color="auto"/>
                    <w:left w:val="none" w:sz="0" w:space="0" w:color="auto"/>
                    <w:bottom w:val="none" w:sz="0" w:space="0" w:color="auto"/>
                    <w:right w:val="none" w:sz="0" w:space="0" w:color="auto"/>
                  </w:divBdr>
                  <w:divsChild>
                    <w:div w:id="1336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691">
              <w:marLeft w:val="0"/>
              <w:marRight w:val="0"/>
              <w:marTop w:val="0"/>
              <w:marBottom w:val="0"/>
              <w:divBdr>
                <w:top w:val="none" w:sz="0" w:space="0" w:color="auto"/>
                <w:left w:val="none" w:sz="0" w:space="0" w:color="auto"/>
                <w:bottom w:val="none" w:sz="0" w:space="0" w:color="auto"/>
                <w:right w:val="none" w:sz="0" w:space="0" w:color="auto"/>
              </w:divBdr>
            </w:div>
          </w:divsChild>
        </w:div>
        <w:div w:id="145976168">
          <w:marLeft w:val="0"/>
          <w:marRight w:val="0"/>
          <w:marTop w:val="0"/>
          <w:marBottom w:val="0"/>
          <w:divBdr>
            <w:top w:val="none" w:sz="0" w:space="0" w:color="auto"/>
            <w:left w:val="none" w:sz="0" w:space="0" w:color="auto"/>
            <w:bottom w:val="none" w:sz="0" w:space="0" w:color="auto"/>
            <w:right w:val="none" w:sz="0" w:space="0" w:color="auto"/>
          </w:divBdr>
          <w:divsChild>
            <w:div w:id="1640644296">
              <w:marLeft w:val="0"/>
              <w:marRight w:val="0"/>
              <w:marTop w:val="0"/>
              <w:marBottom w:val="0"/>
              <w:divBdr>
                <w:top w:val="none" w:sz="0" w:space="0" w:color="auto"/>
                <w:left w:val="none" w:sz="0" w:space="0" w:color="auto"/>
                <w:bottom w:val="none" w:sz="0" w:space="0" w:color="auto"/>
                <w:right w:val="none" w:sz="0" w:space="0" w:color="auto"/>
              </w:divBdr>
              <w:divsChild>
                <w:div w:id="475296075">
                  <w:marLeft w:val="0"/>
                  <w:marRight w:val="0"/>
                  <w:marTop w:val="0"/>
                  <w:marBottom w:val="0"/>
                  <w:divBdr>
                    <w:top w:val="none" w:sz="0" w:space="0" w:color="auto"/>
                    <w:left w:val="none" w:sz="0" w:space="0" w:color="auto"/>
                    <w:bottom w:val="none" w:sz="0" w:space="0" w:color="auto"/>
                    <w:right w:val="none" w:sz="0" w:space="0" w:color="auto"/>
                  </w:divBdr>
                  <w:divsChild>
                    <w:div w:id="2125876844">
                      <w:marLeft w:val="0"/>
                      <w:marRight w:val="0"/>
                      <w:marTop w:val="0"/>
                      <w:marBottom w:val="0"/>
                      <w:divBdr>
                        <w:top w:val="none" w:sz="0" w:space="0" w:color="auto"/>
                        <w:left w:val="none" w:sz="0" w:space="0" w:color="auto"/>
                        <w:bottom w:val="none" w:sz="0" w:space="0" w:color="auto"/>
                        <w:right w:val="none" w:sz="0" w:space="0" w:color="auto"/>
                      </w:divBdr>
                      <w:divsChild>
                        <w:div w:id="156239242">
                          <w:marLeft w:val="0"/>
                          <w:marRight w:val="0"/>
                          <w:marTop w:val="0"/>
                          <w:marBottom w:val="0"/>
                          <w:divBdr>
                            <w:top w:val="none" w:sz="0" w:space="0" w:color="auto"/>
                            <w:left w:val="none" w:sz="0" w:space="0" w:color="auto"/>
                            <w:bottom w:val="none" w:sz="0" w:space="0" w:color="auto"/>
                            <w:right w:val="none" w:sz="0" w:space="0" w:color="auto"/>
                          </w:divBdr>
                          <w:divsChild>
                            <w:div w:id="1698458879">
                              <w:marLeft w:val="0"/>
                              <w:marRight w:val="0"/>
                              <w:marTop w:val="0"/>
                              <w:marBottom w:val="0"/>
                              <w:divBdr>
                                <w:top w:val="none" w:sz="0" w:space="0" w:color="auto"/>
                                <w:left w:val="none" w:sz="0" w:space="0" w:color="auto"/>
                                <w:bottom w:val="none" w:sz="0" w:space="0" w:color="auto"/>
                                <w:right w:val="none" w:sz="0" w:space="0" w:color="auto"/>
                              </w:divBdr>
                              <w:divsChild>
                                <w:div w:id="1359508157">
                                  <w:marLeft w:val="0"/>
                                  <w:marRight w:val="0"/>
                                  <w:marTop w:val="0"/>
                                  <w:marBottom w:val="0"/>
                                  <w:divBdr>
                                    <w:top w:val="none" w:sz="0" w:space="0" w:color="auto"/>
                                    <w:left w:val="none" w:sz="0" w:space="0" w:color="auto"/>
                                    <w:bottom w:val="none" w:sz="0" w:space="0" w:color="auto"/>
                                    <w:right w:val="none" w:sz="0" w:space="0" w:color="auto"/>
                                  </w:divBdr>
                                  <w:divsChild>
                                    <w:div w:id="470753941">
                                      <w:marLeft w:val="0"/>
                                      <w:marRight w:val="0"/>
                                      <w:marTop w:val="0"/>
                                      <w:marBottom w:val="0"/>
                                      <w:divBdr>
                                        <w:top w:val="none" w:sz="0" w:space="0" w:color="auto"/>
                                        <w:left w:val="none" w:sz="0" w:space="0" w:color="auto"/>
                                        <w:bottom w:val="none" w:sz="0" w:space="0" w:color="auto"/>
                                        <w:right w:val="none" w:sz="0" w:space="0" w:color="auto"/>
                                      </w:divBdr>
                                      <w:divsChild>
                                        <w:div w:id="1409571724">
                                          <w:marLeft w:val="0"/>
                                          <w:marRight w:val="0"/>
                                          <w:marTop w:val="0"/>
                                          <w:marBottom w:val="0"/>
                                          <w:divBdr>
                                            <w:top w:val="none" w:sz="0" w:space="0" w:color="auto"/>
                                            <w:left w:val="none" w:sz="0" w:space="0" w:color="auto"/>
                                            <w:bottom w:val="none" w:sz="0" w:space="0" w:color="auto"/>
                                            <w:right w:val="none" w:sz="0" w:space="0" w:color="auto"/>
                                          </w:divBdr>
                                          <w:divsChild>
                                            <w:div w:id="11012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670160">
      <w:bodyDiv w:val="1"/>
      <w:marLeft w:val="0"/>
      <w:marRight w:val="0"/>
      <w:marTop w:val="0"/>
      <w:marBottom w:val="0"/>
      <w:divBdr>
        <w:top w:val="none" w:sz="0" w:space="0" w:color="auto"/>
        <w:left w:val="none" w:sz="0" w:space="0" w:color="auto"/>
        <w:bottom w:val="none" w:sz="0" w:space="0" w:color="auto"/>
        <w:right w:val="none" w:sz="0" w:space="0" w:color="auto"/>
      </w:divBdr>
    </w:div>
    <w:div w:id="1588032655">
      <w:bodyDiv w:val="1"/>
      <w:marLeft w:val="0"/>
      <w:marRight w:val="0"/>
      <w:marTop w:val="0"/>
      <w:marBottom w:val="0"/>
      <w:divBdr>
        <w:top w:val="none" w:sz="0" w:space="0" w:color="auto"/>
        <w:left w:val="none" w:sz="0" w:space="0" w:color="auto"/>
        <w:bottom w:val="none" w:sz="0" w:space="0" w:color="auto"/>
        <w:right w:val="none" w:sz="0" w:space="0" w:color="auto"/>
      </w:divBdr>
      <w:divsChild>
        <w:div w:id="1435204811">
          <w:marLeft w:val="0"/>
          <w:marRight w:val="0"/>
          <w:marTop w:val="0"/>
          <w:marBottom w:val="0"/>
          <w:divBdr>
            <w:top w:val="none" w:sz="0" w:space="0" w:color="auto"/>
            <w:left w:val="none" w:sz="0" w:space="0" w:color="auto"/>
            <w:bottom w:val="none" w:sz="0" w:space="0" w:color="auto"/>
            <w:right w:val="none" w:sz="0" w:space="0" w:color="auto"/>
          </w:divBdr>
          <w:divsChild>
            <w:div w:id="288440022">
              <w:marLeft w:val="0"/>
              <w:marRight w:val="0"/>
              <w:marTop w:val="0"/>
              <w:marBottom w:val="0"/>
              <w:divBdr>
                <w:top w:val="none" w:sz="0" w:space="0" w:color="auto"/>
                <w:left w:val="none" w:sz="0" w:space="0" w:color="auto"/>
                <w:bottom w:val="none" w:sz="0" w:space="0" w:color="auto"/>
                <w:right w:val="none" w:sz="0" w:space="0" w:color="auto"/>
              </w:divBdr>
              <w:divsChild>
                <w:div w:id="599022959">
                  <w:marLeft w:val="0"/>
                  <w:marRight w:val="0"/>
                  <w:marTop w:val="0"/>
                  <w:marBottom w:val="0"/>
                  <w:divBdr>
                    <w:top w:val="none" w:sz="0" w:space="0" w:color="auto"/>
                    <w:left w:val="none" w:sz="0" w:space="0" w:color="auto"/>
                    <w:bottom w:val="none" w:sz="0" w:space="0" w:color="auto"/>
                    <w:right w:val="none" w:sz="0" w:space="0" w:color="auto"/>
                  </w:divBdr>
                </w:div>
                <w:div w:id="49423440">
                  <w:marLeft w:val="0"/>
                  <w:marRight w:val="0"/>
                  <w:marTop w:val="0"/>
                  <w:marBottom w:val="0"/>
                  <w:divBdr>
                    <w:top w:val="none" w:sz="0" w:space="0" w:color="auto"/>
                    <w:left w:val="none" w:sz="0" w:space="0" w:color="auto"/>
                    <w:bottom w:val="none" w:sz="0" w:space="0" w:color="auto"/>
                    <w:right w:val="none" w:sz="0" w:space="0" w:color="auto"/>
                  </w:divBdr>
                  <w:divsChild>
                    <w:div w:id="5125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1094">
              <w:marLeft w:val="0"/>
              <w:marRight w:val="0"/>
              <w:marTop w:val="0"/>
              <w:marBottom w:val="0"/>
              <w:divBdr>
                <w:top w:val="none" w:sz="0" w:space="0" w:color="auto"/>
                <w:left w:val="none" w:sz="0" w:space="0" w:color="auto"/>
                <w:bottom w:val="none" w:sz="0" w:space="0" w:color="auto"/>
                <w:right w:val="none" w:sz="0" w:space="0" w:color="auto"/>
              </w:divBdr>
            </w:div>
          </w:divsChild>
        </w:div>
        <w:div w:id="694765755">
          <w:marLeft w:val="0"/>
          <w:marRight w:val="0"/>
          <w:marTop w:val="0"/>
          <w:marBottom w:val="0"/>
          <w:divBdr>
            <w:top w:val="none" w:sz="0" w:space="0" w:color="auto"/>
            <w:left w:val="none" w:sz="0" w:space="0" w:color="auto"/>
            <w:bottom w:val="none" w:sz="0" w:space="0" w:color="auto"/>
            <w:right w:val="none" w:sz="0" w:space="0" w:color="auto"/>
          </w:divBdr>
          <w:divsChild>
            <w:div w:id="6324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99">
      <w:bodyDiv w:val="1"/>
      <w:marLeft w:val="0"/>
      <w:marRight w:val="0"/>
      <w:marTop w:val="0"/>
      <w:marBottom w:val="0"/>
      <w:divBdr>
        <w:top w:val="none" w:sz="0" w:space="0" w:color="auto"/>
        <w:left w:val="none" w:sz="0" w:space="0" w:color="auto"/>
        <w:bottom w:val="none" w:sz="0" w:space="0" w:color="auto"/>
        <w:right w:val="none" w:sz="0" w:space="0" w:color="auto"/>
      </w:divBdr>
    </w:div>
    <w:div w:id="1889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Ассоциация Первая СРО АУ</dc:creator>
  <cp:keywords/>
  <dc:description/>
  <cp:lastModifiedBy>Ассоциация Первая СРО АУ</cp:lastModifiedBy>
  <cp:revision>2</cp:revision>
  <dcterms:created xsi:type="dcterms:W3CDTF">2019-02-01T10:35:00Z</dcterms:created>
  <dcterms:modified xsi:type="dcterms:W3CDTF">2019-02-01T10:35:00Z</dcterms:modified>
</cp:coreProperties>
</file>